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wordWrap w:val="1"/>
        <w:adjustRightInd w:val="1"/>
        <w:spacing w:line="240" w:lineRule="auto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様式第２－１号（第５条関係）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事業計画書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spacing w:after="120" w:afterLines="0" w:afterAutospacing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　施設の概要</w:t>
      </w:r>
    </w:p>
    <w:p>
      <w:pPr>
        <w:pStyle w:val="0"/>
        <w:ind w:firstLine="420"/>
        <w:rPr>
          <w:rFonts w:hint="default" w:ascii="ＭＳ Ｐ明朝" w:hAnsi="ＭＳ Ｐ明朝" w:eastAsia="ＭＳ Ｐ明朝"/>
          <w:sz w:val="22"/>
          <w:vertAlign w:val="superscript"/>
        </w:rPr>
      </w:pPr>
      <w:r>
        <w:rPr>
          <w:rFonts w:hint="eastAsia" w:ascii="ＭＳ Ｐ明朝" w:hAnsi="ＭＳ Ｐ明朝" w:eastAsia="ＭＳ Ｐ明朝"/>
          <w:sz w:val="22"/>
        </w:rPr>
        <w:t>（１）面積　　　　施設全体敷地面積：　○○○○ｍ</w:t>
      </w:r>
      <w:r>
        <w:rPr>
          <w:rFonts w:hint="eastAsia" w:ascii="ＭＳ Ｐ明朝" w:hAnsi="ＭＳ Ｐ明朝" w:eastAsia="ＭＳ Ｐ明朝"/>
          <w:sz w:val="22"/>
          <w:vertAlign w:val="superscript"/>
        </w:rPr>
        <w:t>2</w:t>
      </w:r>
    </w:p>
    <w:p>
      <w:pPr>
        <w:pStyle w:val="0"/>
        <w:ind w:firstLine="42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42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（２）容量　　　　受入容量残量　　：　○○○○○○ｍ</w:t>
      </w:r>
      <w:r>
        <w:rPr>
          <w:rFonts w:hint="eastAsia" w:ascii="ＭＳ Ｐ明朝" w:hAnsi="ＭＳ Ｐ明朝" w:eastAsia="ＭＳ Ｐ明朝"/>
          <w:sz w:val="22"/>
          <w:vertAlign w:val="superscript"/>
        </w:rPr>
        <w:t>3</w:t>
      </w:r>
      <w:r>
        <w:rPr>
          <w:rFonts w:hint="eastAsia" w:ascii="ＭＳ Ｐ明朝" w:hAnsi="ＭＳ Ｐ明朝" w:eastAsia="ＭＳ Ｐ明朝"/>
          <w:sz w:val="22"/>
        </w:rPr>
        <w:t>　（○○年○月○日現在）</w:t>
      </w:r>
    </w:p>
    <w:p>
      <w:pPr>
        <w:pStyle w:val="0"/>
        <w:ind w:firstLine="42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42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（３）受入能力　　日当り受入能力　　　○○○ｍ</w:t>
      </w:r>
      <w:r>
        <w:rPr>
          <w:rFonts w:hint="eastAsia" w:ascii="ＭＳ Ｐ明朝" w:hAnsi="ＭＳ Ｐ明朝" w:eastAsia="ＭＳ Ｐ明朝"/>
          <w:sz w:val="22"/>
          <w:vertAlign w:val="superscript"/>
        </w:rPr>
        <w:t>3</w:t>
      </w:r>
      <w:r>
        <w:rPr>
          <w:rFonts w:hint="eastAsia" w:ascii="ＭＳ Ｐ明朝" w:hAnsi="ＭＳ Ｐ明朝" w:eastAsia="ＭＳ Ｐ明朝"/>
          <w:sz w:val="22"/>
        </w:rPr>
        <w:t>／日（年当り受入能力　○○○○○ｍ</w:t>
      </w:r>
      <w:r>
        <w:rPr>
          <w:rFonts w:hint="eastAsia" w:ascii="ＭＳ Ｐ明朝" w:hAnsi="ＭＳ Ｐ明朝" w:eastAsia="ＭＳ Ｐ明朝"/>
          <w:sz w:val="22"/>
          <w:vertAlign w:val="superscript"/>
        </w:rPr>
        <w:t>3</w:t>
      </w:r>
      <w:r>
        <w:rPr>
          <w:rFonts w:hint="eastAsia" w:ascii="ＭＳ Ｐ明朝" w:hAnsi="ＭＳ Ｐ明朝" w:eastAsia="ＭＳ Ｐ明朝"/>
          <w:sz w:val="22"/>
        </w:rPr>
        <w:t>／年）</w:t>
      </w:r>
    </w:p>
    <w:p>
      <w:pPr>
        <w:pStyle w:val="0"/>
        <w:ind w:firstLine="42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発生土受入条件</w:t>
      </w:r>
    </w:p>
    <w:p>
      <w:pPr>
        <w:pStyle w:val="0"/>
        <w:spacing w:before="137" w:beforeLines="50" w:beforeAutospacing="0"/>
        <w:ind w:firstLine="21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（１）受入可能発生土</w:t>
      </w:r>
    </w:p>
    <w:p>
      <w:pPr>
        <w:pStyle w:val="25"/>
        <w:numPr>
          <w:ilvl w:val="0"/>
          <w:numId w:val="1"/>
        </w:numPr>
        <w:spacing w:before="68" w:beforeLines="25" w:beforeAutospacing="0"/>
        <w:ind w:left="851" w:leftChars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土質区分</w:t>
      </w:r>
    </w:p>
    <w:p>
      <w:pPr>
        <w:pStyle w:val="25"/>
        <w:spacing w:before="68" w:beforeLines="25" w:beforeAutospacing="0"/>
        <w:ind w:left="1276" w:leftChars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建設発生土（　　第１種　　・　　第２種　　・　　第３種　　・　　第４種　　・　　泥土　　）</w:t>
      </w:r>
    </w:p>
    <w:p>
      <w:pPr>
        <w:pStyle w:val="0"/>
        <w:spacing w:before="68" w:beforeLines="25" w:beforeAutospacing="0"/>
        <w:ind w:left="1558" w:leftChars="742" w:firstLine="2"/>
        <w:rPr>
          <w:rFonts w:hint="default" w:ascii="ＭＳ Ｐ明朝" w:hAnsi="ＭＳ Ｐ明朝" w:eastAsia="ＭＳ Ｐ明朝"/>
          <w:sz w:val="16"/>
        </w:rPr>
      </w:pPr>
      <w:r>
        <w:rPr>
          <w:rFonts w:hint="eastAsia" w:ascii="ＭＳ Ｐ明朝" w:hAnsi="ＭＳ Ｐ明朝" w:eastAsia="ＭＳ Ｐ明朝"/>
          <w:sz w:val="16"/>
        </w:rPr>
        <w:t>注１）受入可の場合○を記入すること。</w:t>
      </w:r>
    </w:p>
    <w:p>
      <w:pPr>
        <w:pStyle w:val="0"/>
        <w:spacing w:before="68" w:beforeLines="25" w:beforeAutospacing="0"/>
        <w:ind w:left="1558" w:leftChars="742" w:firstLine="2"/>
        <w:rPr>
          <w:rFonts w:hint="default" w:ascii="ＭＳ Ｐ明朝" w:hAnsi="ＭＳ Ｐ明朝" w:eastAsia="ＭＳ Ｐ明朝"/>
          <w:sz w:val="16"/>
        </w:rPr>
      </w:pPr>
      <w:r>
        <w:rPr>
          <w:rFonts w:hint="eastAsia" w:ascii="ＭＳ Ｐ明朝" w:hAnsi="ＭＳ Ｐ明朝" w:eastAsia="ＭＳ Ｐ明朝"/>
          <w:sz w:val="16"/>
        </w:rPr>
        <w:t>注２）この土質区分は、建設工事必携Ⅰ「建設発生土利用基準」</w:t>
      </w:r>
      <w:r>
        <w:rPr>
          <w:rFonts w:hint="eastAsia" w:ascii="ＭＳ Ｐ明朝" w:hAnsi="ＭＳ Ｐ明朝" w:eastAsia="ＭＳ Ｐ明朝"/>
          <w:sz w:val="16"/>
        </w:rPr>
        <w:t>p14-4</w:t>
      </w:r>
      <w:r>
        <w:rPr>
          <w:rFonts w:hint="eastAsia" w:ascii="ＭＳ Ｐ明朝" w:hAnsi="ＭＳ Ｐ明朝" w:eastAsia="ＭＳ Ｐ明朝"/>
          <w:sz w:val="16"/>
        </w:rPr>
        <w:t>の土質区分基準による。</w:t>
      </w:r>
    </w:p>
    <w:p>
      <w:pPr>
        <w:pStyle w:val="25"/>
        <w:numPr>
          <w:ilvl w:val="0"/>
          <w:numId w:val="1"/>
        </w:numPr>
        <w:spacing w:before="275" w:beforeLines="100" w:beforeAutospacing="0"/>
        <w:ind w:left="851" w:leftChars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土壌検査証明書の提出の要否</w:t>
      </w:r>
    </w:p>
    <w:p>
      <w:pPr>
        <w:pStyle w:val="25"/>
        <w:spacing w:before="137" w:beforeLines="50" w:beforeAutospacing="0"/>
        <w:ind w:left="1276" w:leftChars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不要</w:t>
      </w:r>
    </w:p>
    <w:p>
      <w:pPr>
        <w:pStyle w:val="25"/>
        <w:spacing w:before="137" w:beforeLines="50" w:beforeAutospacing="0"/>
        <w:ind w:left="1276" w:leftChars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必要（　自然的原因によるもの（重金属等８物質）　・　全項目　・　</w:t>
      </w:r>
      <w:r>
        <w:rPr>
          <w:rFonts w:hint="eastAsia" w:ascii="ＭＳ Ｐ明朝" w:hAnsi="ＭＳ Ｐ明朝" w:eastAsia="ＭＳ Ｐ明朝"/>
          <w:color w:val="auto"/>
        </w:rPr>
        <w:t>その他</w:t>
      </w:r>
      <w:r>
        <w:rPr>
          <w:rFonts w:hint="eastAsia" w:ascii="ＭＳ Ｐ明朝" w:hAnsi="ＭＳ Ｐ明朝" w:eastAsia="ＭＳ Ｐ明朝"/>
        </w:rPr>
        <w:t>　）</w:t>
      </w:r>
    </w:p>
    <w:p>
      <w:pPr>
        <w:pStyle w:val="0"/>
        <w:spacing w:before="137" w:beforeLines="50" w:beforeAutospacing="0"/>
        <w:ind w:left="105" w:leftChars="50" w:firstLine="1155" w:firstLineChars="55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color w:val="auto"/>
        </w:rPr>
        <w:t>その他の場合（　　　　　　　　　　　　　　　　　　　　　　　　　　　　　　　　　　　　　　　　　）</w:t>
      </w:r>
    </w:p>
    <w:p>
      <w:pPr>
        <w:pStyle w:val="0"/>
        <w:spacing w:before="137" w:beforeLines="50" w:beforeAutospacing="0"/>
        <w:ind w:left="1558" w:leftChars="742" w:firstLine="2"/>
        <w:rPr>
          <w:rFonts w:hint="default" w:ascii="ＭＳ Ｐ明朝" w:hAnsi="ＭＳ Ｐ明朝" w:eastAsia="ＭＳ Ｐ明朝"/>
          <w:sz w:val="16"/>
        </w:rPr>
      </w:pPr>
      <w:r>
        <w:rPr>
          <w:rFonts w:hint="eastAsia" w:ascii="ＭＳ Ｐ明朝" w:hAnsi="ＭＳ Ｐ明朝" w:eastAsia="ＭＳ Ｐ明朝"/>
          <w:sz w:val="16"/>
        </w:rPr>
        <w:t>注３）受入可の場合○を記入すること。</w:t>
      </w:r>
    </w:p>
    <w:p>
      <w:pPr>
        <w:pStyle w:val="0"/>
        <w:spacing w:before="68" w:beforeLines="25" w:beforeAutospacing="0"/>
        <w:ind w:left="1841" w:leftChars="742" w:hanging="283"/>
        <w:rPr>
          <w:rFonts w:hint="default" w:ascii="ＭＳ Ｐ明朝" w:hAnsi="ＭＳ Ｐ明朝" w:eastAsia="ＭＳ Ｐ明朝"/>
          <w:sz w:val="16"/>
        </w:rPr>
      </w:pPr>
      <w:r>
        <w:rPr>
          <w:rFonts w:hint="eastAsia" w:ascii="ＭＳ Ｐ明朝" w:hAnsi="ＭＳ Ｐ明朝" w:eastAsia="ＭＳ Ｐ明朝"/>
          <w:sz w:val="16"/>
        </w:rPr>
        <w:t>注４）土壌検査証明書とは、群馬県土砂等による埋立て等の規制に関する条例施行規則第１０条第４項に定めるものと同等のものとする。</w:t>
      </w:r>
    </w:p>
    <w:p>
      <w:pPr>
        <w:pStyle w:val="0"/>
        <w:spacing w:before="68" w:beforeLines="25" w:beforeAutospacing="0"/>
        <w:ind w:left="1841" w:leftChars="742" w:hanging="283"/>
        <w:rPr>
          <w:rFonts w:hint="default" w:ascii="ＭＳ Ｐ明朝" w:hAnsi="ＭＳ Ｐ明朝" w:eastAsia="ＭＳ Ｐ明朝"/>
          <w:sz w:val="16"/>
        </w:rPr>
      </w:pPr>
      <w:r>
        <w:rPr>
          <w:rFonts w:hint="eastAsia" w:ascii="ＭＳ Ｐ明朝" w:hAnsi="ＭＳ Ｐ明朝" w:eastAsia="ＭＳ Ｐ明朝"/>
          <w:sz w:val="16"/>
        </w:rPr>
        <w:t>注５）重金属等８項目とは、特定有害物質２５物質のうち、自然界に元素として存在する物質として「土壌汚染対策法の施行について（平成１５年２月４日付け　環水土第２０号）」別紙１による砒素、鉛、ふっ素、ほう素、水銀、カドニウム、セレン、六価クロムの８物質をいう。</w:t>
      </w:r>
    </w:p>
    <w:p>
      <w:pPr>
        <w:pStyle w:val="25"/>
        <w:numPr>
          <w:ilvl w:val="0"/>
          <w:numId w:val="1"/>
        </w:numPr>
        <w:spacing w:before="275" w:beforeLines="100" w:beforeAutospacing="0"/>
        <w:ind w:left="851" w:leftChars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搬入可能最大粒径　　　</w:t>
      </w:r>
      <w:r>
        <w:rPr>
          <w:rFonts w:hint="eastAsia" w:ascii="ＭＳ Ｐ明朝" w:hAnsi="ＭＳ Ｐ明朝" w:eastAsia="ＭＳ Ｐ明朝"/>
          <w:u w:val="single" w:color="auto"/>
        </w:rPr>
        <w:t>　　　　　　　　　　㎝以下</w:t>
      </w:r>
    </w:p>
    <w:p>
      <w:pPr>
        <w:pStyle w:val="0"/>
        <w:ind w:firstLine="210"/>
        <w:rPr>
          <w:rFonts w:hint="default" w:ascii="ＭＳ Ｐ明朝" w:hAnsi="ＭＳ Ｐ明朝" w:eastAsia="ＭＳ Ｐ明朝"/>
        </w:rPr>
      </w:pPr>
    </w:p>
    <w:p>
      <w:pPr>
        <w:pStyle w:val="0"/>
        <w:tabs>
          <w:tab w:val="left" w:leader="none" w:pos="4935"/>
        </w:tabs>
        <w:ind w:left="640" w:firstLine="640"/>
        <w:rPr>
          <w:rFonts w:hint="default" w:ascii="ＭＳ Ｐ明朝" w:hAnsi="ＭＳ Ｐ明朝" w:eastAsia="ＭＳ Ｐ明朝"/>
          <w:sz w:val="16"/>
        </w:rPr>
      </w:pPr>
    </w:p>
    <w:p>
      <w:pPr>
        <w:pStyle w:val="16"/>
        <w:wordWrap w:val="1"/>
        <w:autoSpaceDE w:val="1"/>
        <w:autoSpaceDN w:val="1"/>
        <w:adjustRightInd w:val="1"/>
        <w:spacing w:line="240" w:lineRule="auto"/>
        <w:ind w:left="210"/>
        <w:rPr>
          <w:rFonts w:hint="default" w:ascii="ＭＳ Ｐ明朝" w:hAnsi="ＭＳ Ｐ明朝" w:eastAsia="ＭＳ Ｐ明朝"/>
          <w:spacing w:val="0"/>
          <w:kern w:val="2"/>
          <w:sz w:val="22"/>
        </w:rPr>
      </w:pPr>
      <w:r>
        <w:rPr>
          <w:rFonts w:hint="eastAsia" w:ascii="ＭＳ Ｐ明朝" w:hAnsi="ＭＳ Ｐ明朝" w:eastAsia="ＭＳ Ｐ明朝"/>
          <w:spacing w:val="0"/>
          <w:kern w:val="2"/>
          <w:sz w:val="22"/>
        </w:rPr>
        <w:t>（２）受入可能時間　　　午前○○時○○分　～　午後○○時○○分</w:t>
      </w:r>
    </w:p>
    <w:p>
      <w:pPr>
        <w:pStyle w:val="16"/>
        <w:wordWrap w:val="1"/>
        <w:autoSpaceDE w:val="1"/>
        <w:autoSpaceDN w:val="1"/>
        <w:adjustRightInd w:val="1"/>
        <w:spacing w:line="240" w:lineRule="auto"/>
        <w:ind w:left="210"/>
        <w:rPr>
          <w:rFonts w:hint="default" w:ascii="ＭＳ Ｐ明朝" w:hAnsi="ＭＳ Ｐ明朝" w:eastAsia="ＭＳ Ｐ明朝"/>
          <w:spacing w:val="0"/>
          <w:kern w:val="2"/>
          <w:sz w:val="22"/>
        </w:rPr>
      </w:pPr>
    </w:p>
    <w:p>
      <w:pPr>
        <w:pStyle w:val="0"/>
        <w:ind w:left="21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（３）受入可能曜日　　　○曜日　～　○曜日　</w:t>
      </w:r>
    </w:p>
    <w:p>
      <w:pPr>
        <w:pStyle w:val="0"/>
        <w:ind w:left="21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spacing w:after="137" w:afterLines="50" w:afterAutospacing="0"/>
        <w:ind w:left="21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（４）受入手続及び管理</w:t>
      </w:r>
    </w:p>
    <w:tbl>
      <w:tblPr>
        <w:tblStyle w:val="11"/>
        <w:tblW w:w="6804" w:type="dxa"/>
        <w:jc w:val="left"/>
        <w:tblInd w:w="1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1765"/>
        <w:gridCol w:w="1637"/>
        <w:gridCol w:w="1701"/>
      </w:tblGrid>
      <w:tr>
        <w:trPr>
          <w:cantSplit/>
          <w:trHeight w:val="363" w:hRule="atLeast"/>
        </w:trPr>
        <w:tc>
          <w:tcPr>
            <w:tcW w:w="3466" w:type="dxa"/>
            <w:gridSpan w:val="2"/>
            <w:vAlign w:val="center"/>
          </w:tcPr>
          <w:p>
            <w:pPr>
              <w:pStyle w:val="17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受入手続方法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受入管理方法</w:t>
            </w: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ＴＥＬ・ＦＡＸ</w:t>
            </w:r>
          </w:p>
        </w:tc>
        <w:tc>
          <w:tcPr>
            <w:tcW w:w="176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　　）</w:t>
            </w:r>
          </w:p>
        </w:tc>
        <w:tc>
          <w:tcPr>
            <w:tcW w:w="163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受入伝票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　　）</w:t>
            </w:r>
          </w:p>
        </w:tc>
      </w:tr>
      <w:tr>
        <w:trPr>
          <w:trHeight w:val="602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765" w:type="dxa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after="120" w:afterLines="0" w:afterAutospacing="0"/>
        <w:ind w:left="1420" w:hanging="278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16"/>
        </w:rPr>
        <w:t>注）該当するものに○を記入すること。その他の場合は、別途詳細内容を記入すること。受入伝票により管理する場合は、様式を添付すること。</w:t>
      </w:r>
      <w:bookmarkStart w:id="0" w:name="_GoBack"/>
      <w:bookmarkEnd w:id="0"/>
    </w:p>
    <w:sectPr>
      <w:pgMar w:top="1134" w:right="1134" w:bottom="856" w:left="1418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210" w:firstLineChars="100"/>
    </w:pPr>
    <w:rPr>
      <w:rFonts w:ascii="ＭＳ 明朝" w:hAnsi="ＭＳ 明朝"/>
      <w:color w:val="99CC00"/>
      <w:kern w:val="0"/>
    </w:rPr>
  </w:style>
  <w:style w:type="paragraph" w:styleId="16" w:customStyle="1">
    <w:name w:val="一太郎８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Body Text Indent 3"/>
    <w:basedOn w:val="0"/>
    <w:next w:val="18"/>
    <w:link w:val="0"/>
    <w:uiPriority w:val="0"/>
    <w:pPr>
      <w:ind w:left="258" w:leftChars="20" w:hanging="210"/>
    </w:pPr>
    <w:rPr>
      <w:rFonts w:ascii="ＭＳ 明朝" w:hAnsi="ＭＳ 明朝" w:eastAsia="ＭＳ ゴシック"/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ody Text Indent 2"/>
    <w:basedOn w:val="0"/>
    <w:next w:val="20"/>
    <w:link w:val="0"/>
    <w:uiPriority w:val="0"/>
    <w:pPr>
      <w:ind w:left="540" w:hanging="54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685</TotalTime>
  <Pages>1</Pages>
  <Words>5</Words>
  <Characters>652</Characters>
  <Application>JUST Note</Application>
  <Lines>52</Lines>
  <Paragraphs>33</Paragraphs>
  <Company>県土整備部</Company>
  <CharactersWithSpaces>775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様式第１号（第３条，第９条関係）</dc:title>
  <dc:creator>広島県</dc:creator>
  <cp:lastModifiedBy>02701)有働　亮介</cp:lastModifiedBy>
  <cp:lastPrinted>2024-10-09T01:12:23Z</cp:lastPrinted>
  <dcterms:created xsi:type="dcterms:W3CDTF">2020-03-09T01:43:00Z</dcterms:created>
  <dcterms:modified xsi:type="dcterms:W3CDTF">2024-11-14T03:16:00Z</dcterms:modified>
  <cp:revision>12</cp:revision>
</cp:coreProperties>
</file>